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BAA" w:rsidRPr="009163F2" w:rsidRDefault="006F1BAA" w:rsidP="006F1BAA">
      <w:pPr>
        <w:pStyle w:val="NoSpacing"/>
        <w:rPr>
          <w:lang w:eastAsia="ru-RU"/>
        </w:rPr>
      </w:pPr>
    </w:p>
    <w:p w:rsidR="006F1BAA" w:rsidRPr="00B00ACF" w:rsidRDefault="006F1BAA" w:rsidP="006F1BAA">
      <w:pPr>
        <w:pStyle w:val="NoSpacing"/>
        <w:rPr>
          <w:b/>
          <w:lang w:eastAsia="ru-RU"/>
        </w:rPr>
      </w:pPr>
      <w:r>
        <w:rPr>
          <w:b/>
          <w:lang w:eastAsia="ru-RU"/>
        </w:rPr>
        <w:t>10.1.2.</w:t>
      </w:r>
      <w:r w:rsidRPr="00B00ACF">
        <w:rPr>
          <w:b/>
          <w:lang w:eastAsia="ru-RU"/>
        </w:rPr>
        <w:t>Физические и логические каналы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На одной несущей организуется 8 физических каналов, размещенных в 8 временных окнах, в пределах TDMA-кадра каждый физический канал использует одно и тоже временное окно в каждом временном TDMA- кадре и в нем содержится 114 бит.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Сообщение и данные группируются в логические каналы до формирования физического канала.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Логические каналы бывают 2-х типов: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каналы связи для передачи речи и данных в цифровой форме TCH.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каналы управления для передачи сигналов управления и синхронизации (CCH-каналы, таблица 6.7).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В GSM различают каналы для передачи речи и данных: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TCH/F - канал передачи сообщений с полной скоростью 22,8 Кбит/с;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TCH/H – полускоростной канал передачи сообщений со скоростью 11,4 Кбит/с.</w:t>
      </w:r>
    </w:p>
    <w:p w:rsidR="006F1BAA" w:rsidRDefault="006F1BAA" w:rsidP="006F1BAA">
      <w:pPr>
        <w:pStyle w:val="NoSpacing"/>
        <w:rPr>
          <w:lang w:eastAsia="ru-RU"/>
        </w:rPr>
      </w:pPr>
    </w:p>
    <w:p w:rsidR="006F1BAA" w:rsidRPr="00B00ACF" w:rsidRDefault="006F1BAA" w:rsidP="006F1BAA">
      <w:pPr>
        <w:pStyle w:val="NoSpacing"/>
        <w:rPr>
          <w:b/>
          <w:lang w:eastAsia="ru-RU"/>
        </w:rPr>
      </w:pPr>
      <w:r>
        <w:rPr>
          <w:b/>
          <w:lang w:eastAsia="ru-RU"/>
        </w:rPr>
        <w:t xml:space="preserve">10.1.3. </w:t>
      </w:r>
      <w:r w:rsidRPr="00B00ACF">
        <w:rPr>
          <w:b/>
          <w:lang w:eastAsia="ru-RU"/>
        </w:rPr>
        <w:t>Процесс преобразования сигналов в мобильной станции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Преобразование речи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Формирование сигналов начинается с процесса преобразования речевого сигнала в цифровую форму.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Процедура преобразования происходит в речевом кодере. Для стандарта GSM выбран речевой кодер RPE-LTP (кодер с регулярным импульсным возбуждением и линейным кодированием с предсказанием) с долговременным прогнозирующим устройством от MPE-LTP кодером, что позволило снизить скорость передачи до 13 Кбит/с (с 14,77 Кбит/с).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Уменьшение скорости до 13 Кбит/с достигается тремя этапами: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линейным кодированием с предсказанием;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долговременным предсказанием;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регулярным импульсным возбуждением.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Диапазон входных амплитуд разбивается на сегменты. Затем в процессе анализа вычисляются 8 коэффициентов r(i), которые представляются как уровни. Затем в процессе долговременного предсказания каждый сегмент выравнивается до уровня следующих друг за другом сегментов речи.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Кодеры с линейным предсказанием извлекают существенные для восприятия характеристики речи непосредственно из временной формы сигнала. Такой кодер анализирует речевой сигнал для получения меняющейся во времени модели возбуждения речи образующего тракта.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Восемь коэффициентов r(i) кодируются и передаются со скоростью 3,6 Кбит/с, периодическая последовательность фрагментов передается со скоростью 9,4 Кбит/с. Общая скорость передачи составляет 3,6 + 9,4 Кбит/с. Таким образом, обработка речи производится по кадрам длительностью 20 мс. За время кадра при анализе вычисляются 93 значения параметров, которые передаются каждые 20 мс цифровым потоком со скоростью 13 Кбит/с.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Кодер распознает при анализе речи различные звуки речи и передает с генератора синусоидальный сигнал во всем диапазоне речевых частот.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В речевом декодере сигнал восстанавливается по откликам последовательности регулярного импульсного возбуждения.</w:t>
      </w:r>
    </w:p>
    <w:p w:rsidR="006F1BAA" w:rsidRPr="00B00ACF" w:rsidRDefault="006F1BAA" w:rsidP="006F1BAA">
      <w:pPr>
        <w:pStyle w:val="NoSpacing"/>
        <w:rPr>
          <w:b/>
          <w:lang w:eastAsia="ru-RU"/>
        </w:rPr>
      </w:pPr>
      <w:r>
        <w:rPr>
          <w:b/>
          <w:lang w:eastAsia="ru-RU"/>
        </w:rPr>
        <w:t xml:space="preserve">10.1.4. </w:t>
      </w:r>
      <w:r w:rsidRPr="00B00ACF">
        <w:rPr>
          <w:b/>
          <w:lang w:eastAsia="ru-RU"/>
        </w:rPr>
        <w:t>Канальное кодирование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Речевой кодер передает каждые 260 бит информационной последовательности со скоростью v = 13 Кбит/с на схему канального кодирования. Первые 182 бита этого кадра (биты 1-го класса) защищаются с помощью блочного кода. Для этого биты 1-го класса разделяются дополнительно на 50 бит класса 1а и 132 бита класса 1б, рисунок 6.12.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2EFC588" wp14:editId="4379B41E">
            <wp:simplePos x="0" y="0"/>
            <wp:positionH relativeFrom="column">
              <wp:posOffset>0</wp:posOffset>
            </wp:positionH>
            <wp:positionV relativeFrom="paragraph">
              <wp:posOffset>-1270</wp:posOffset>
            </wp:positionV>
            <wp:extent cx="2160000" cy="1217890"/>
            <wp:effectExtent l="0" t="0" r="0" b="1905"/>
            <wp:wrapTight wrapText="bothSides">
              <wp:wrapPolygon edited="0">
                <wp:start x="2286" y="0"/>
                <wp:lineTo x="0" y="12845"/>
                <wp:lineTo x="0" y="21296"/>
                <wp:lineTo x="21340" y="21296"/>
                <wp:lineTo x="21340" y="0"/>
                <wp:lineTo x="2286" y="0"/>
              </wp:wrapPolygon>
            </wp:wrapTight>
            <wp:docPr id="1" name="Picture 1" descr="Рисунок 6.12. Структура формирования сигна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Рисунок 6.12. Структура формирования сигнал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21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Рисунок 6.12. Структура формирования сигнала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Блочный код представляет собой систематический циклический код (53,50).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 xml:space="preserve">В соответствии с принятым правилом формирования системного кода, ключ SW закрыт на время первых 50 тактовых импульсов, а информационные биты, поступающие </w:t>
      </w:r>
      <w:r w:rsidRPr="009163F2">
        <w:rPr>
          <w:lang w:eastAsia="ru-RU"/>
        </w:rPr>
        <w:lastRenderedPageBreak/>
        <w:t>на вход кодирующего устройства, одновременно поступают на блок переупорядочения и формирования 3 бит проверки на четность, рисунок 9.11.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После 50 тактовых импульсов переключатель SW срабатывает, и биты проверки на четность поступают из кодирующего устройства.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2EFFC835" wp14:editId="25B0538D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2160000" cy="857329"/>
            <wp:effectExtent l="0" t="0" r="0" b="0"/>
            <wp:wrapTight wrapText="bothSides">
              <wp:wrapPolygon edited="0">
                <wp:start x="7621" y="0"/>
                <wp:lineTo x="0" y="2400"/>
                <wp:lineTo x="0" y="16320"/>
                <wp:lineTo x="12766" y="16320"/>
                <wp:lineTo x="12766" y="20640"/>
                <wp:lineTo x="13337" y="21120"/>
                <wp:lineTo x="20387" y="21120"/>
                <wp:lineTo x="21340" y="21120"/>
                <wp:lineTo x="21340" y="19680"/>
                <wp:lineTo x="20577" y="16320"/>
                <wp:lineTo x="21340" y="16320"/>
                <wp:lineTo x="21340" y="13920"/>
                <wp:lineTo x="17529" y="8640"/>
                <wp:lineTo x="17910" y="3360"/>
                <wp:lineTo x="16767" y="2400"/>
                <wp:lineTo x="9527" y="0"/>
                <wp:lineTo x="7621" y="0"/>
              </wp:wrapPolygon>
            </wp:wrapTight>
            <wp:docPr id="2" name="Picture 2" descr="Рисунок 9.11. Структурная схема циклического кодера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Рисунок 9.11. Структурная схема циклического кодера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857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Рисунок 9.11. Структурная схема циклического кодера.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788207D5" wp14:editId="2F737EC0">
            <wp:simplePos x="0" y="0"/>
            <wp:positionH relativeFrom="column">
              <wp:posOffset>347980</wp:posOffset>
            </wp:positionH>
            <wp:positionV relativeFrom="paragraph">
              <wp:posOffset>3175</wp:posOffset>
            </wp:positionV>
            <wp:extent cx="2160000" cy="454863"/>
            <wp:effectExtent l="0" t="0" r="0" b="2540"/>
            <wp:wrapTight wrapText="bothSides">
              <wp:wrapPolygon edited="0">
                <wp:start x="0" y="0"/>
                <wp:lineTo x="0" y="20816"/>
                <wp:lineTo x="21340" y="20816"/>
                <wp:lineTo x="21340" y="0"/>
                <wp:lineTo x="0" y="0"/>
              </wp:wrapPolygon>
            </wp:wrapTight>
            <wp:docPr id="3" name="Picture 3" descr="Рисунок 9.12. Структура формирования сигнала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Рисунок 9.12. Структура формирования сигнала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54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Рисунок 9.12. Структура формирования сигнала.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Далее проводится первый шаг перемежения: биты с четными индексами собираются в первой части информационного слова, затем идут 3 бита проверки на четность, затем собираются биты с нечетными индексами и переставляются. Затем следуют 4 нулевых бита, которые нужны для формирования кода, исправляющего случайные ошибки в канале, рисунок 9.13.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7CD255B3" wp14:editId="2C2EBEF2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2915920" cy="549910"/>
            <wp:effectExtent l="0" t="0" r="0" b="2540"/>
            <wp:wrapTight wrapText="bothSides">
              <wp:wrapPolygon edited="0">
                <wp:start x="0" y="0"/>
                <wp:lineTo x="0" y="20952"/>
                <wp:lineTo x="423" y="20952"/>
                <wp:lineTo x="21449" y="20952"/>
                <wp:lineTo x="21449" y="0"/>
                <wp:lineTo x="0" y="0"/>
              </wp:wrapPolygon>
            </wp:wrapTight>
            <wp:docPr id="4" name="Picture 4" descr="Рисунок 9.13. Структура формирования сигнала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Рисунок 9.13. Структура формирования сигнала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920" cy="54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Рисунок 9.13. Структура формирования сигнала.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Затем 189 бит кодируются сверточным кодом. Сверточный код является непрерывным. В основу положен принцип формирования проверочных разрядов путем суммирования по модулю «2» каждого информационного разряда с некоторым набором предыдущих разрядов. К информационному разряду добавляются 2 проверочных, полученных в процессе формирования, рисунок 9.14, таблица 9.2.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18601AC4" wp14:editId="39EF844E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2880000" cy="865479"/>
            <wp:effectExtent l="0" t="0" r="0" b="0"/>
            <wp:wrapTight wrapText="bothSides">
              <wp:wrapPolygon edited="0">
                <wp:start x="15718" y="0"/>
                <wp:lineTo x="429" y="0"/>
                <wp:lineTo x="286" y="7612"/>
                <wp:lineTo x="6287" y="7612"/>
                <wp:lineTo x="5858" y="12370"/>
                <wp:lineTo x="6001" y="19031"/>
                <wp:lineTo x="7287" y="19507"/>
                <wp:lineTo x="13860" y="20458"/>
                <wp:lineTo x="14575" y="20458"/>
                <wp:lineTo x="14860" y="18079"/>
                <wp:lineTo x="14146" y="17128"/>
                <wp:lineTo x="10002" y="15225"/>
                <wp:lineTo x="12717" y="15225"/>
                <wp:lineTo x="21433" y="9515"/>
                <wp:lineTo x="21433" y="1427"/>
                <wp:lineTo x="16575" y="0"/>
                <wp:lineTo x="15718" y="0"/>
              </wp:wrapPolygon>
            </wp:wrapTight>
            <wp:docPr id="5" name="Picture 5" descr="Рисунок 9.14. Схема сверточного коде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Рисунок 9.14. Схема сверточного кодер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865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Рисунок 9.14. Схема сверточного кодера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После сверточного кодирования общая длина кадра составит 456 бит, рисунок 9.15.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inline distT="0" distB="0" distL="0" distR="0" wp14:anchorId="34B37988" wp14:editId="644A1E09">
            <wp:extent cx="2880000" cy="590440"/>
            <wp:effectExtent l="0" t="0" r="0" b="635"/>
            <wp:docPr id="6" name="Picture 6" descr="https://siblec.ru/img/71/071.files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s://siblec.ru/img/71/071.files/image02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59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Рисунок 9.15 - Структура формирования сигнала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После этого кадр из 456 бит делится на восемь 57-битовых подблоков, рисунок 9.16 .</w:t>
      </w:r>
    </w:p>
    <w:tbl>
      <w:tblPr>
        <w:tblW w:w="0" w:type="auto"/>
        <w:jc w:val="center"/>
        <w:tblInd w:w="1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</w:tblGrid>
      <w:tr w:rsidR="006F1BAA" w:rsidRPr="009163F2" w:rsidTr="008765B1">
        <w:trPr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F1BAA" w:rsidRPr="009163F2" w:rsidRDefault="006F1BAA" w:rsidP="008765B1">
            <w:pPr>
              <w:pStyle w:val="NoSpacing"/>
              <w:rPr>
                <w:lang w:eastAsia="ru-RU"/>
              </w:rPr>
            </w:pPr>
            <w:r w:rsidRPr="009163F2">
              <w:rPr>
                <w:lang w:eastAsia="ru-RU"/>
              </w:rPr>
              <w:t>B0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F1BAA" w:rsidRPr="009163F2" w:rsidRDefault="006F1BAA" w:rsidP="008765B1">
            <w:pPr>
              <w:pStyle w:val="NoSpacing"/>
              <w:rPr>
                <w:lang w:eastAsia="ru-RU"/>
              </w:rPr>
            </w:pPr>
            <w:r w:rsidRPr="009163F2">
              <w:rPr>
                <w:lang w:eastAsia="ru-RU"/>
              </w:rPr>
              <w:t>B1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F1BAA" w:rsidRPr="009163F2" w:rsidRDefault="006F1BAA" w:rsidP="008765B1">
            <w:pPr>
              <w:pStyle w:val="NoSpacing"/>
              <w:rPr>
                <w:lang w:eastAsia="ru-RU"/>
              </w:rPr>
            </w:pPr>
            <w:r w:rsidRPr="009163F2">
              <w:rPr>
                <w:lang w:eastAsia="ru-RU"/>
              </w:rPr>
              <w:t>B2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F1BAA" w:rsidRPr="009163F2" w:rsidRDefault="006F1BAA" w:rsidP="008765B1">
            <w:pPr>
              <w:pStyle w:val="NoSpacing"/>
              <w:rPr>
                <w:lang w:eastAsia="ru-RU"/>
              </w:rPr>
            </w:pPr>
            <w:r w:rsidRPr="009163F2">
              <w:rPr>
                <w:lang w:eastAsia="ru-RU"/>
              </w:rPr>
              <w:t>B3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F1BAA" w:rsidRPr="009163F2" w:rsidRDefault="006F1BAA" w:rsidP="008765B1">
            <w:pPr>
              <w:pStyle w:val="NoSpacing"/>
              <w:rPr>
                <w:lang w:eastAsia="ru-RU"/>
              </w:rPr>
            </w:pPr>
            <w:r w:rsidRPr="009163F2">
              <w:rPr>
                <w:lang w:eastAsia="ru-RU"/>
              </w:rPr>
              <w:t>B4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F1BAA" w:rsidRPr="009163F2" w:rsidRDefault="006F1BAA" w:rsidP="008765B1">
            <w:pPr>
              <w:pStyle w:val="NoSpacing"/>
              <w:rPr>
                <w:lang w:eastAsia="ru-RU"/>
              </w:rPr>
            </w:pPr>
            <w:r w:rsidRPr="009163F2">
              <w:rPr>
                <w:lang w:eastAsia="ru-RU"/>
              </w:rPr>
              <w:t>B5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F1BAA" w:rsidRPr="009163F2" w:rsidRDefault="006F1BAA" w:rsidP="008765B1">
            <w:pPr>
              <w:pStyle w:val="NoSpacing"/>
              <w:rPr>
                <w:lang w:eastAsia="ru-RU"/>
              </w:rPr>
            </w:pPr>
            <w:r w:rsidRPr="009163F2">
              <w:rPr>
                <w:lang w:eastAsia="ru-RU"/>
              </w:rPr>
              <w:t>B6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F1BAA" w:rsidRPr="009163F2" w:rsidRDefault="006F1BAA" w:rsidP="008765B1">
            <w:pPr>
              <w:pStyle w:val="NoSpacing"/>
              <w:rPr>
                <w:lang w:eastAsia="ru-RU"/>
              </w:rPr>
            </w:pPr>
            <w:r w:rsidRPr="009163F2">
              <w:rPr>
                <w:lang w:eastAsia="ru-RU"/>
              </w:rPr>
              <w:t>B7</w:t>
            </w:r>
          </w:p>
        </w:tc>
      </w:tr>
    </w:tbl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Рисунок 9.16 – Структура формирования сигнала.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Затем подблоки подвергаются диагональному и внутрикадровому перемежению, разбиваются на пакеты и пакеты перемежаются.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Формирование TDMA-кадра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В результате этих преобразований каждый отсчет уровня исходного аналогового сигнала представляется в виде зашифрованного сообщения, состоящего из 114 бит – двух самостоятельных блоков по 57 бит, рисунок 3.14, разделенных между собой эталонной (обучающей) последовательностью 26 бит. При приеме этой последовательности определяется характер искажений в тракте распространения сигнала, и характеристики приемника формируются уже применительно к конкретным условиям работы в данный момент времени.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По обучающей последовательности производят настройку эквалайзера. Временной интервал пакета имеет длительность 0,577 мс. В его состав кроме двух блоков по 57 бит и обучающей последовательности включается: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2 концевых комбинации TB (Tail Bits) по 3 бита каждая;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2 контрольных бита, разделяющих зашифрованные биты сообщения;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защитный интервал GP (Guard Period) длительностью, равной времени передачи 8,25 бита.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Это означает, что интервал NB содержит 156,25 бит, а длительность одного бита составляет 3,69 мкс.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0A6F31FD" wp14:editId="66DD6DE8">
            <wp:simplePos x="0" y="0"/>
            <wp:positionH relativeFrom="column">
              <wp:posOffset>0</wp:posOffset>
            </wp:positionH>
            <wp:positionV relativeFrom="paragraph">
              <wp:posOffset>-3175</wp:posOffset>
            </wp:positionV>
            <wp:extent cx="3599815" cy="713105"/>
            <wp:effectExtent l="0" t="0" r="635" b="0"/>
            <wp:wrapTight wrapText="bothSides">
              <wp:wrapPolygon edited="0">
                <wp:start x="114" y="0"/>
                <wp:lineTo x="0" y="1731"/>
                <wp:lineTo x="0" y="16157"/>
                <wp:lineTo x="2058" y="18465"/>
                <wp:lineTo x="8687" y="20773"/>
                <wp:lineTo x="9144" y="20773"/>
                <wp:lineTo x="19089" y="18465"/>
                <wp:lineTo x="21490" y="16157"/>
                <wp:lineTo x="21490" y="0"/>
                <wp:lineTo x="114" y="0"/>
              </wp:wrapPolygon>
            </wp:wrapTight>
            <wp:docPr id="7" name="Picture 7" descr="Рисунок 3.14. Структура формирования сигнала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Рисунок 3.14. Структура формирования сигнала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71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Рисунок 3.14. Структура формирования сигнала.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Каждый интервал кадра обозначается от 0 до 7, т.е. в одном кадре одновременно могут передаваться 8 речевых каналов. Физический смысл временных интервалов, которые иначе называются окнами, - это время, в течение которого осуществляется модуляция несущей цифровым информационным потоком соответствующим речевому сообщению или данным.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Цифровой информационный поток представляет собой последовательность пакетов, размещаемых в этих временных интервалах (окнах). Пакеты формируются немного короче, чем интервалы, их длительность составляет 0,546 мс, что необходимо для приема сообщения при наличии временной дисперсии в канале распространения. Общая длительность одного TDMA-кадра составляет 4,615 мс.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В общем виде временная диаграмма процесса передачи выглядит следующим образом</w:t>
      </w:r>
      <w:r>
        <w:rPr>
          <w:lang w:eastAsia="ru-RU"/>
        </w:rPr>
        <w:t xml:space="preserve">  </w:t>
      </w:r>
      <w:r w:rsidRPr="009163F2">
        <w:rPr>
          <w:lang w:eastAsia="ru-RU"/>
        </w:rPr>
        <w:t>Для передачи информации по каналам управления и связи, подстройки несущих частот, обеспечения временной синхронизации и доступа</w:t>
      </w:r>
      <w:r>
        <w:rPr>
          <w:lang w:eastAsia="ru-RU"/>
        </w:rPr>
        <w:t xml:space="preserve"> к каналу связи используются 5 </w:t>
      </w:r>
      <w:r w:rsidRPr="009163F2">
        <w:rPr>
          <w:lang w:eastAsia="ru-RU"/>
        </w:rPr>
        <w:t xml:space="preserve"> вид</w:t>
      </w:r>
      <w:r>
        <w:rPr>
          <w:lang w:eastAsia="ru-RU"/>
        </w:rPr>
        <w:t>ы</w:t>
      </w:r>
      <w:r w:rsidRPr="009163F2">
        <w:rPr>
          <w:lang w:eastAsia="ru-RU"/>
        </w:rPr>
        <w:t xml:space="preserve"> временных интервалов (окон):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NB (Normal Burst) — нормальный временной интервал;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FB (Frequency correction Burst) — временной интервал подстройки частоты;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SB (Synchronisation Burst) — интервал временной синхронизации;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 xml:space="preserve">DB (Dummy </w:t>
      </w:r>
      <w:r>
        <w:rPr>
          <w:lang w:eastAsia="ru-RU"/>
        </w:rPr>
        <w:t>Burst) — установочный интервал;</w:t>
      </w:r>
      <w:r w:rsidRPr="009163F2">
        <w:rPr>
          <w:lang w:eastAsia="ru-RU"/>
        </w:rPr>
        <w:br w:type="textWrapping" w:clear="all"/>
      </w:r>
      <w:r>
        <w:rPr>
          <w:lang w:eastAsia="ru-RU"/>
        </w:rPr>
        <w:t>-</w:t>
      </w:r>
      <w:r w:rsidRPr="009163F2">
        <w:rPr>
          <w:lang w:eastAsia="ru-RU"/>
        </w:rPr>
        <w:t>АВ (Access Burst) — интервал доступа.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При передаче по одному разговорному каналу в стандарте GSM используется нормальный временной интервал NB (пакет) длительностью 0,577 мс, который включает в себя: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114 бит зашифрованного сообщения;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две концевых комбинации ТВ (Tail Bits) по 3 бита каждая;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два контрольных бита, разделяющих зашифрованные биты сообщения и эталонную последовательность;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защитный интервал GP (Guard Period) длительностью, равной времени передачи 8,25 бита.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Это означает, что интервал NB содержит 156,25 бит, а длительность одного бита составляет 3,69 мкс.</w:t>
      </w:r>
    </w:p>
    <w:p w:rsidR="006F1BAA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 xml:space="preserve">Временной интервал подстройки частоты содержит 142 нулевых бита, две концевых комбинации ТВ и защитный интервал. Повторяющиеся временные интервалы подстройки частоты образуют канал установки частоты (FCCH). 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Интервал временной синхронизации SB используется в подвижной станции для синхронизации работы аппаратуры. Он состоит из синхропоследовательности длиной 64 бита и двух зашифрованных блоков (по 39 бит каждый), несущих информацию о номере TDMA-кадра и идентификационном коде базовой станции. Этот интервал передается вместе с интервалом установки частоты. Повторяющиеся интервалы синхронизации образуют так называемый канал синхронизации (SCH).</w:t>
      </w:r>
    </w:p>
    <w:p w:rsidR="006F1BAA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 xml:space="preserve">Установочный интервал DB обеспечивает установление и тестирование канала связи. По своей структуре установочный интервал совпадает с нормальным временным интервалом NB. Различие их состоит в том, что интервал DB содержит установочную последовательность длиной 26 бит и в нем отсутствуют контрольные биты. Интервал доступа АВ обеспечивает разрешение доступа подвижной станции к новой базовой станции, Он содержит большой защитный интервал GP длительностью 252 мкс (68,25 бита), две концевых комбинации ТВ (по 3 бита каждая), синхропоследовательность длиной 41 бит и 36 зашифрованных бит. 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Большой защитный интервал (252 мкс) обеспечивает возможность связи с подвижными абонентами в сотах радиусом до 35 км, поскольку он перекрывает время распространения радиосигнала в прямом и обратном направлениях, которое может составлять при этом до 233,3 мкс.</w:t>
      </w:r>
    </w:p>
    <w:p w:rsidR="006F1BAA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 xml:space="preserve">Передача информации при временном разделении каналов осуществляется в составе TDMA- кадра. Каждый временной интервал этого кадра обозначается номером от 0 до 7, т. е. в одном кадре одновременно могут передаваться 8 речевых каналов. 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Физический смысл временных интервалов, которые иначе называются окнами, — это время, в течение которого осуществляется модуляция несущей цифровым информационным потоком, соответствующим речевому сообщению или данным. Цифровой информационный поток представляет собой последовательность пакетов, размещаемых в этих временных интервалах (окнах). Пакеты формируются немного короче, чем интервалы, их длительность составляет 0,546 мс, что необходимо для приема сообщения при наличии временной дисперсии в канале распространения. Общая длительность одного TDMA-кадра составляет 4,615 мс. Из ТDМА-кадров составляются мультикадры. Для организации различных каналов связи и управления в стандарте GSM используются два вида мультикадров: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состоящие из 26 TDMA-кадров;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состоящие из 51 ТDМА-кадра.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Длительность одного мультикадра первого вида равна 120 мс, второго - 235,385 мс. Из 51 мультикадра первого вида (по 26 кадров) или из 26 мультикадров второго вида (по 51 кадру) составляется суперкадр длительностью 6, 12 с (1326 ТОМА- кадров). 2048 суперкадров составляют 1 гиперкадр, содержащий 2715648 TDMA- кадров, Длительность 1 гиперкадра составляет 3 ч 28 мин 53 с 760 мс. Необходимость такой большой длительности гиперкадра обусловлена требованиями применяемого процесса криптографической защиты, в котором номер кадра используется как входной параметр шифрования. Однако даже без дополнительного шифрования прослушивать разговоры практически невозможно.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Одной из особенностей формирования сигналов в стандарте GSM является использование медленных скачков по частоте в процессе сеанса связи – SFH (Slow Frequency Hopping). Главное назначение таких скачков – обеспечение частотного разнесения в радиоканалах, функционирующих в условиях многолучевого распространения радиоволн. Медленные скачки частоты используются во всех подвижных сетях, что повышает эффективность кодирования и перемежения при медленном движении абонентских станций.</w:t>
      </w:r>
    </w:p>
    <w:p w:rsidR="006F1BAA" w:rsidRPr="005D2178" w:rsidRDefault="006F1BAA" w:rsidP="006F1BAA">
      <w:pPr>
        <w:pStyle w:val="NoSpacing"/>
        <w:rPr>
          <w:b/>
          <w:lang w:eastAsia="ru-RU"/>
        </w:rPr>
      </w:pPr>
      <w:r>
        <w:rPr>
          <w:b/>
          <w:lang w:eastAsia="ru-RU"/>
        </w:rPr>
        <w:t xml:space="preserve">10.1.5. </w:t>
      </w:r>
      <w:r w:rsidRPr="005D2178">
        <w:rPr>
          <w:b/>
          <w:lang w:eastAsia="ru-RU"/>
        </w:rPr>
        <w:t>Шифрование</w:t>
      </w:r>
      <w:r>
        <w:rPr>
          <w:b/>
          <w:lang w:eastAsia="ru-RU"/>
        </w:rPr>
        <w:t xml:space="preserve"> и </w:t>
      </w:r>
      <w:r w:rsidRPr="00E9205C">
        <w:rPr>
          <w:b/>
          <w:lang w:eastAsia="ru-RU"/>
        </w:rPr>
        <w:t>Гауссовская частотная манипуляция (GMSK)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Далее сигнал подвергается шифрованию сообщения по алгоритму шифрования с открытым ключом (RSA) для обеспечения безопасности передачи сообщений.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Алгоритм шифрования с открытым ключом RSA заключается в том, что каждое сообщение М разбивается на блоки фиксированной длины, и каждый блок кодируется как совокупность фиксированного числа цифр. Такой алгоритм обеспечивает высокую степень безопасности при передаче речи и исключает возможность извлечения информации из канала связи кому-либо, кроме санкционированного пользователя. На приеме сообщение расшифровывается в дешифраторе.Алгоритм ключа шифрования хранится в модуле SIM.</w:t>
      </w:r>
    </w:p>
    <w:p w:rsidR="006F1BAA" w:rsidRPr="005D2178" w:rsidRDefault="006F1BAA" w:rsidP="006F1BAA">
      <w:pPr>
        <w:pStyle w:val="NoSpacing"/>
        <w:rPr>
          <w:b/>
          <w:lang w:eastAsia="ru-RU"/>
        </w:rPr>
      </w:pPr>
      <w:r w:rsidRPr="005D2178">
        <w:rPr>
          <w:b/>
          <w:lang w:eastAsia="ru-RU"/>
        </w:rPr>
        <w:t>Гауссовская частотная манипуляция (GMSK)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В стандарте GSM выбрана гауссовская частотная манипуляция с минимальным частотным сдвигом – GMSK. Индекс модуляции 0,3. GMSK представляет собой двоичную ЧМ с двумя соответствующими сигналу частотами, выбранными таким образом, чтобы на одном тактовом интервале между двумя частотами имелся фазовый сдвиг на 90°. Этот процесс показан на рисунках 3.17, 3.18.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57CE438F" wp14:editId="1F029C78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2879725" cy="1367155"/>
            <wp:effectExtent l="0" t="0" r="0" b="4445"/>
            <wp:wrapTight wrapText="bothSides">
              <wp:wrapPolygon edited="0">
                <wp:start x="11431" y="0"/>
                <wp:lineTo x="8145" y="903"/>
                <wp:lineTo x="3429" y="3612"/>
                <wp:lineTo x="3429" y="5117"/>
                <wp:lineTo x="714" y="6922"/>
                <wp:lineTo x="286" y="7524"/>
                <wp:lineTo x="143" y="12641"/>
                <wp:lineTo x="1429" y="14748"/>
                <wp:lineTo x="3144" y="14748"/>
                <wp:lineTo x="2286" y="16554"/>
                <wp:lineTo x="2143" y="21068"/>
                <wp:lineTo x="15718" y="21369"/>
                <wp:lineTo x="16289" y="21369"/>
                <wp:lineTo x="18718" y="21068"/>
                <wp:lineTo x="18861" y="19563"/>
                <wp:lineTo x="17290" y="19563"/>
                <wp:lineTo x="20862" y="16554"/>
                <wp:lineTo x="20862" y="15049"/>
                <wp:lineTo x="17004" y="14748"/>
                <wp:lineTo x="18861" y="13544"/>
                <wp:lineTo x="20719" y="10835"/>
                <wp:lineTo x="20719" y="5719"/>
                <wp:lineTo x="20147" y="5117"/>
                <wp:lineTo x="17290" y="5117"/>
                <wp:lineTo x="18861" y="1204"/>
                <wp:lineTo x="18861" y="0"/>
                <wp:lineTo x="11431" y="0"/>
              </wp:wrapPolygon>
            </wp:wrapTight>
            <wp:docPr id="8" name="Picture 8" descr="Рисунок 3.17. Принцип формирования GMSK-сигна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Рисунок 3.17. Принцип формирования GMSK-сигнала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36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Рисунок 3.17. Принцип формирования GMSK-сигнала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42396110" wp14:editId="2E4D88DE">
            <wp:simplePos x="0" y="0"/>
            <wp:positionH relativeFrom="column">
              <wp:posOffset>19050</wp:posOffset>
            </wp:positionH>
            <wp:positionV relativeFrom="paragraph">
              <wp:posOffset>4445</wp:posOffset>
            </wp:positionV>
            <wp:extent cx="2879725" cy="2190115"/>
            <wp:effectExtent l="0" t="0" r="0" b="635"/>
            <wp:wrapTight wrapText="bothSides">
              <wp:wrapPolygon edited="0">
                <wp:start x="2715" y="376"/>
                <wp:lineTo x="429" y="1879"/>
                <wp:lineTo x="286" y="2818"/>
                <wp:lineTo x="1858" y="3758"/>
                <wp:lineTo x="143" y="6764"/>
                <wp:lineTo x="1715" y="9770"/>
                <wp:lineTo x="1715" y="15782"/>
                <wp:lineTo x="1143" y="17473"/>
                <wp:lineTo x="857" y="19727"/>
                <wp:lineTo x="857" y="20479"/>
                <wp:lineTo x="1429" y="21418"/>
                <wp:lineTo x="2286" y="21418"/>
                <wp:lineTo x="18861" y="21231"/>
                <wp:lineTo x="21005" y="21043"/>
                <wp:lineTo x="20576" y="17661"/>
                <wp:lineTo x="19719" y="16346"/>
                <wp:lineTo x="18290" y="15782"/>
                <wp:lineTo x="18290" y="12776"/>
                <wp:lineTo x="20576" y="12212"/>
                <wp:lineTo x="20576" y="11273"/>
                <wp:lineTo x="18576" y="9770"/>
                <wp:lineTo x="21433" y="6764"/>
                <wp:lineTo x="21433" y="4885"/>
                <wp:lineTo x="19576" y="3945"/>
                <wp:lineTo x="14718" y="3758"/>
                <wp:lineTo x="21148" y="2818"/>
                <wp:lineTo x="21290" y="1879"/>
                <wp:lineTo x="19147" y="376"/>
                <wp:lineTo x="2715" y="376"/>
              </wp:wrapPolygon>
            </wp:wrapTight>
            <wp:docPr id="9" name="Picture 9" descr="Рисунок 3.18. Формирование GMSK-сигна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Рисунок 3.18. Формирование GMSK-сигнала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Рисунок 3.18. Формирование GMSK-сигнала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Модуляцию GMSK характеризуют следующие свойства: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постоянная по уровню огибающая, позволяющая использовать передающие устройства с усилителями мощность класса С;</w:t>
      </w:r>
    </w:p>
    <w:p w:rsidR="006F1BAA" w:rsidRPr="009163F2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узкий спектр на выходе усилителя мощности передающего устройства обеспечивающий низкий уровень внеполосного излучения;</w:t>
      </w:r>
    </w:p>
    <w:p w:rsidR="006F1BAA" w:rsidRDefault="006F1BAA" w:rsidP="006F1BAA">
      <w:pPr>
        <w:pStyle w:val="NoSpacing"/>
        <w:rPr>
          <w:lang w:eastAsia="ru-RU"/>
        </w:rPr>
      </w:pPr>
      <w:r>
        <w:rPr>
          <w:lang w:eastAsia="ru-RU"/>
        </w:rPr>
        <w:t>-</w:t>
      </w:r>
      <w:r w:rsidRPr="009163F2">
        <w:rPr>
          <w:lang w:eastAsia="ru-RU"/>
        </w:rPr>
        <w:t>хорошая помехоустойчивость канала связи.</w:t>
      </w:r>
    </w:p>
    <w:p w:rsidR="006F1BAA" w:rsidRPr="009163F2" w:rsidRDefault="006F1BAA" w:rsidP="006F1BAA">
      <w:pPr>
        <w:pStyle w:val="NoSpacing"/>
        <w:rPr>
          <w:lang w:eastAsia="ru-RU"/>
        </w:rPr>
      </w:pPr>
    </w:p>
    <w:p w:rsidR="006F1BAA" w:rsidRPr="005D2178" w:rsidRDefault="006F1BAA" w:rsidP="006F1BAA">
      <w:pPr>
        <w:pStyle w:val="NoSpacing"/>
        <w:rPr>
          <w:b/>
          <w:lang w:eastAsia="ru-RU"/>
        </w:rPr>
      </w:pPr>
      <w:r>
        <w:rPr>
          <w:b/>
          <w:lang w:eastAsia="ru-RU"/>
        </w:rPr>
        <w:t xml:space="preserve">10.1.6. </w:t>
      </w:r>
      <w:r w:rsidRPr="005D2178">
        <w:rPr>
          <w:b/>
          <w:lang w:eastAsia="ru-RU"/>
        </w:rPr>
        <w:t>Структурная схема сети стандарта GSM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Оборудование сетей GSM (рисунок 3.19) включает в себя: подвижные радиотелефоны, базовые станции, цифровые коммутаторы, центр управления и обслуживания, дополнительные подсистемы и устройства. Функциональное сопряжение элементов системы осуществляется с помощью ряда интерфейсов.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В рамках стандарта GSM приняты пять классов мобильных станций: от модели 1-го класса с выходной мощностью до 20 Вт, устанавливаемой на транспортных средствах, до модели 5-ro класса с максимальной выходной мощностью до 0,8 Вт (таблице 3.3). При передаче сообщений предусматривается адаптивная регулировка мощности передатчика, обеспечивающая требуемое качество связи. Подвижная и базовые станции независимы друг от друга.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6F886F42" wp14:editId="6021232C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2879725" cy="3272790"/>
            <wp:effectExtent l="0" t="0" r="0" b="3810"/>
            <wp:wrapTight wrapText="bothSides">
              <wp:wrapPolygon edited="0">
                <wp:start x="10574" y="0"/>
                <wp:lineTo x="10574" y="1006"/>
                <wp:lineTo x="12003" y="2263"/>
                <wp:lineTo x="12860" y="2263"/>
                <wp:lineTo x="10431" y="2766"/>
                <wp:lineTo x="10145" y="3017"/>
                <wp:lineTo x="10145" y="4275"/>
                <wp:lineTo x="2286" y="5155"/>
                <wp:lineTo x="1000" y="5406"/>
                <wp:lineTo x="1000" y="6286"/>
                <wp:lineTo x="0" y="7795"/>
                <wp:lineTo x="0" y="8172"/>
                <wp:lineTo x="714" y="10310"/>
                <wp:lineTo x="0" y="11441"/>
                <wp:lineTo x="0" y="18356"/>
                <wp:lineTo x="1572" y="18356"/>
                <wp:lineTo x="1429" y="19739"/>
                <wp:lineTo x="4572" y="20368"/>
                <wp:lineTo x="0" y="20368"/>
                <wp:lineTo x="0" y="21499"/>
                <wp:lineTo x="18576" y="21499"/>
                <wp:lineTo x="18861" y="20494"/>
                <wp:lineTo x="17861" y="20368"/>
                <wp:lineTo x="20433" y="19865"/>
                <wp:lineTo x="20290" y="10310"/>
                <wp:lineTo x="21433" y="10058"/>
                <wp:lineTo x="21433" y="8424"/>
                <wp:lineTo x="20290" y="8298"/>
                <wp:lineTo x="20576" y="7544"/>
                <wp:lineTo x="19719" y="7166"/>
                <wp:lineTo x="16146" y="6286"/>
                <wp:lineTo x="19004" y="6286"/>
                <wp:lineTo x="19862" y="5783"/>
                <wp:lineTo x="19862" y="2263"/>
                <wp:lineTo x="18718" y="0"/>
                <wp:lineTo x="10574" y="0"/>
              </wp:wrapPolygon>
            </wp:wrapTight>
            <wp:docPr id="10" name="Picture 10" descr="https://siblec.ru/img/71/071.files/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s://siblec.ru/img/71/071.files/image034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327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Каждая подвижная станция имеет свой международный идентификационный номер (IMSI), записанный в ее памяти. Такой подход позволяет устанавливать радиотелефоны, например, в автомобилях, сдаваемых напрокат.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Каждой подвижной станции присваивается еще один международный идентификационный номер IMEI, который используется для исключения доступа к сетям GSM с помощью похищенной станции или станции, не обладающей такими полномочиями.</w:t>
      </w:r>
    </w:p>
    <w:p w:rsidR="006F1BAA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Оборудование подсистемы базовых станций состоит из контроллера базовых станций BSC и собственно базовых станций BTS.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 xml:space="preserve"> Один контроллер может управлять несколькими станциями. Он выполняет следующие функции: управляет распределением радиоканалов; контролирует соединения и регулирует их очередность; обеспечивает режим работы с «прыгающей» частотой, модуляцию и демодуляцию сигналов, кодирование и декодирование сообщений, кодирование речи, адаптацию скорости передачи речи, данных и сигналов вызова; определяет очередность передачи сообщений персонального вызова.</w:t>
      </w:r>
    </w:p>
    <w:p w:rsidR="006F1BAA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 xml:space="preserve">Оборудование подсистемы коммутации состоит из центра коммутации подвижной связи MSC, регистра положения HLR, регистра перемещения VLR, центра аутентификации AUC и регистра идентификации оборудования EIR. Центр коммутации подвижной связи обслуживает группу сот и обеспечивает все виды соединений, в которых нуждается подвижная станция в процессе своей работы. Он представляет собой интерфейс между сетью подвижной связи и фиксированными сетями, такими как телефонная сеть общего пользования PSTN, сети пакетной передачи PDN, цифровые сети с интеграцией служб ISDN, и обеспечивает маршрутизацию вызовов и функцию управления вызовами. Кроме этого, на MSC возлагаются функции коммутации радиоканалов, к которым относятся эстафетная передача, обеспечивающая непрерывность связи при перемещении подвижной станции из соты в соту, и переключение рабочих каналов в соте при появлении помех или неисправностей. </w:t>
      </w:r>
    </w:p>
    <w:p w:rsidR="006F1BAA" w:rsidRPr="009163F2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Центр коммутации осуществляет постоянное слежение за подвижными станциями, используя регистры положения и перемещения. В регистре положения хранится та часть информации о местоположении какой-либо подвижной станции, которая позволяет центру коммутации доставить вызов. Этот регистр содержит международный идентификационный номер подвижного абонента (IMSI), который используется для опознавания подвижной станции в центре аутентификации (AUC), а также еще некоторые данные, необходимые для нормальной работы сети GSM.</w:t>
      </w:r>
    </w:p>
    <w:p w:rsidR="006F1BAA" w:rsidRDefault="006F1BAA" w:rsidP="006F1BAA">
      <w:pPr>
        <w:pStyle w:val="NoSpacing"/>
        <w:rPr>
          <w:lang w:eastAsia="ru-RU"/>
        </w:rPr>
      </w:pPr>
      <w:r w:rsidRPr="009163F2">
        <w:rPr>
          <w:lang w:eastAsia="ru-RU"/>
        </w:rPr>
        <w:t>Регистр перемещения - это второе основное устройство, обеспечивающее контроль за передвижением подвижной станции из соты в соту. С его помощью достигается функционирование подвижной станции за пределами контролируемой регистром положения зоны. Когда в процессе перемещения подвижная станция переходит из зоны действия одного контроллера базовых станций в зону действия другого, то она регистрируется последним, т.е. в регистр перемещения заносится новая информация. Для сохранности данных, находящихся в регистрах положения и перемещения, в случае сбоев предусмотрена защита запоминающих устройств этих регистров.</w:t>
      </w:r>
    </w:p>
    <w:p w:rsidR="00E10DA9" w:rsidRDefault="006F1BAA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672"/>
    <w:rsid w:val="000A3B22"/>
    <w:rsid w:val="006F1BAA"/>
    <w:rsid w:val="00916217"/>
    <w:rsid w:val="00BF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B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1BA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B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1B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fontTable" Target="fontTable.xml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2471</Words>
  <Characters>14088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2020-09-26T12:01:00Z</dcterms:created>
  <dcterms:modified xsi:type="dcterms:W3CDTF">2020-09-26T12:01:00Z</dcterms:modified>
</cp:coreProperties>
</file>